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D03D87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D03D87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D03D87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  <w:p w:rsidR="007E4353" w:rsidRPr="004E6545" w:rsidRDefault="007E4353" w:rsidP="00B7557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(ГВС)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75572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A617B4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BA0B4E" w:rsidRPr="00A617B4" w:rsidRDefault="00BA0B4E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BA0B4E" w:rsidRPr="004E6545" w:rsidTr="00C80AA6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  <w:bookmarkStart w:id="2" w:name="_GoBack"/>
            <w:bookmarkEnd w:id="2"/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7E4353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</w:t>
            </w:r>
            <w:r w:rsidR="00C967FA" w:rsidRPr="00C967FA">
              <w:rPr>
                <w:sz w:val="14"/>
                <w:szCs w:val="14"/>
              </w:rPr>
              <w:lastRenderedPageBreak/>
              <w:t xml:space="preserve">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  <w:p w:rsidR="007E4353" w:rsidRPr="004E6545" w:rsidRDefault="007E435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3" w:name="_Toc530465602"/>
      <w:r w:rsidRPr="004E6545">
        <w:t xml:space="preserve"> </w:t>
      </w:r>
      <w:bookmarkStart w:id="4" w:name="_Toc4764787"/>
      <w:r w:rsidRPr="004E6545">
        <w:t>Характеристики, которые передаются дополнительно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5" w:name="_Toc4764788"/>
      <w:r w:rsidRPr="004E6545">
        <w:t>Характеристики</w:t>
      </w:r>
      <w:bookmarkEnd w:id="5"/>
    </w:p>
    <w:p w:rsidR="0039472C" w:rsidRPr="004E6545" w:rsidRDefault="0039472C" w:rsidP="00F87CC0">
      <w:pPr>
        <w:pStyle w:val="3"/>
      </w:pPr>
      <w:bookmarkStart w:id="6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7" w:name="_Toc4764790"/>
      <w:r w:rsidRPr="004E6545">
        <w:t>Численность абонентов</w:t>
      </w:r>
      <w:bookmarkEnd w:id="7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8" w:name="_Toc4764791"/>
      <w:r w:rsidRPr="004E6545">
        <w:t>Ручные перерасчеты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9" w:name="_Toc4764792"/>
      <w:r w:rsidRPr="004E6545">
        <w:t>Счетчики и их показания</w:t>
      </w:r>
      <w:bookmarkEnd w:id="9"/>
    </w:p>
    <w:p w:rsidR="00BF77EA" w:rsidRPr="004E6545" w:rsidRDefault="00BF77EA" w:rsidP="001B2F22">
      <w:pPr>
        <w:pStyle w:val="3"/>
      </w:pPr>
      <w:bookmarkStart w:id="10" w:name="_Toc529883319"/>
      <w:bookmarkStart w:id="11" w:name="_Toc4764793"/>
      <w:r w:rsidRPr="004E6545">
        <w:t>Пакеты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2" w:name="_Toc529883320"/>
      <w:bookmarkStart w:id="13" w:name="_Toc4764794"/>
      <w:r w:rsidRPr="004E6545">
        <w:t>Операции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4" w:name="_Toc4764795"/>
      <w:r w:rsidRPr="004E6545">
        <w:lastRenderedPageBreak/>
        <w:t>Оплата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Удержание из з/</w:t>
            </w:r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341D" w:rsidRPr="004E6545" w:rsidTr="00B75572">
        <w:trPr>
          <w:trHeight w:val="513"/>
        </w:trPr>
        <w:tc>
          <w:tcPr>
            <w:tcW w:w="345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</w:t>
            </w:r>
          </w:p>
        </w:tc>
        <w:tc>
          <w:tcPr>
            <w:tcW w:w="929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Татарской</w:t>
            </w:r>
            <w:proofErr w:type="spellEnd"/>
            <w:r>
              <w:rPr>
                <w:sz w:val="14"/>
                <w:szCs w:val="14"/>
                <w:lang w:val="en-US"/>
              </w:rPr>
              <w:t>, 68</w:t>
            </w: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161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Б</w:t>
            </w:r>
            <w:proofErr w:type="spellStart"/>
            <w:r>
              <w:rPr>
                <w:sz w:val="14"/>
                <w:szCs w:val="14"/>
                <w:lang w:val="en-US"/>
              </w:rPr>
              <w:t>ирюзова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r w:rsidRPr="00DA6101">
              <w:rPr>
                <w:sz w:val="14"/>
                <w:szCs w:val="14"/>
                <w:lang w:val="en-US"/>
              </w:rPr>
              <w:t>6б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19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29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17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5" w:name="_Toc4764796"/>
      <w:r w:rsidRPr="004E6545">
        <w:t>Информация, передаваемая из МП "КВЦ" в МУП "РМПТС"</w:t>
      </w:r>
      <w:bookmarkEnd w:id="15"/>
    </w:p>
    <w:p w:rsidR="00C71127" w:rsidRPr="004E6545" w:rsidRDefault="00C71127" w:rsidP="001B2F22">
      <w:pPr>
        <w:pStyle w:val="2"/>
      </w:pPr>
      <w:bookmarkStart w:id="16" w:name="_Toc4764797"/>
      <w:r w:rsidRPr="004E6545">
        <w:t>Параметры потребления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Вид жилого </w:t>
            </w:r>
            <w:r w:rsidRPr="004E6545"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Коммунальная </w:t>
            </w:r>
            <w:r w:rsidRPr="004E6545">
              <w:rPr>
                <w:sz w:val="14"/>
                <w:szCs w:val="14"/>
              </w:rPr>
              <w:lastRenderedPageBreak/>
              <w:t>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Вид жилого </w:t>
            </w:r>
            <w:r w:rsidRPr="004E6545">
              <w:rPr>
                <w:sz w:val="14"/>
                <w:szCs w:val="14"/>
              </w:rPr>
              <w:lastRenderedPageBreak/>
              <w:t>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</w:t>
            </w:r>
            <w:r w:rsidRPr="004E6545">
              <w:rPr>
                <w:sz w:val="14"/>
                <w:szCs w:val="14"/>
              </w:rPr>
              <w:lastRenderedPageBreak/>
              <w:t>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9" w:name="_Toc529883329"/>
      <w:bookmarkStart w:id="20" w:name="_Toc4764800"/>
      <w:r w:rsidRPr="004E6545">
        <w:t>Граждане</w:t>
      </w:r>
      <w:bookmarkEnd w:id="19"/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1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2" w:name="_Toc4764801"/>
      <w:r w:rsidRPr="004E6545">
        <w:t>Примечание:</w:t>
      </w:r>
      <w:bookmarkEnd w:id="21"/>
      <w:bookmarkEnd w:id="22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3" w:name="_Toc4764802"/>
      <w:r w:rsidRPr="004E6545">
        <w:rPr>
          <w:sz w:val="20"/>
          <w:szCs w:val="20"/>
        </w:rPr>
        <w:t>Лист регистрации изменений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lastRenderedPageBreak/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  <w:tr w:rsidR="00721F95" w:rsidRPr="00B75572" w:rsidTr="00C21410">
        <w:tc>
          <w:tcPr>
            <w:tcW w:w="675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17114</w:t>
            </w:r>
          </w:p>
        </w:tc>
        <w:tc>
          <w:tcPr>
            <w:tcW w:w="4536" w:type="dxa"/>
            <w:vAlign w:val="center"/>
          </w:tcPr>
          <w:p w:rsidR="00721F9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материала стен или этажности дома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vAlign w:val="center"/>
          </w:tcPr>
          <w:p w:rsidR="00721F95" w:rsidRPr="004E654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тарифа в настройке расчета (цена за единицу или тариф)</w:t>
            </w:r>
            <w:r>
              <w:rPr>
                <w:sz w:val="16"/>
                <w:szCs w:val="16"/>
              </w:rPr>
              <w:t xml:space="preserve">, </w:t>
            </w:r>
            <w:r w:rsidRPr="00D7644D">
              <w:rPr>
                <w:sz w:val="16"/>
                <w:szCs w:val="16"/>
              </w:rPr>
              <w:t>материала стен или этажности дома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7E4353" w:rsidRPr="00B75572" w:rsidTr="00C21410">
        <w:tc>
          <w:tcPr>
            <w:tcW w:w="675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02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17116</w:t>
            </w:r>
          </w:p>
        </w:tc>
        <w:tc>
          <w:tcPr>
            <w:tcW w:w="4536" w:type="dxa"/>
            <w:vAlign w:val="center"/>
          </w:tcPr>
          <w:p w:rsidR="007E4353" w:rsidRDefault="007E435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108 дополнено: 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</w:t>
            </w:r>
            <w:r>
              <w:rPr>
                <w:sz w:val="14"/>
                <w:szCs w:val="14"/>
              </w:rPr>
              <w:t>ГВС</w:t>
            </w:r>
            <w:r w:rsidRPr="007E4353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»)</w:t>
            </w:r>
          </w:p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109 дополнено: 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B5E" w:rsidRDefault="00D63B5E" w:rsidP="00805E54">
      <w:pPr>
        <w:spacing w:after="0" w:line="240" w:lineRule="auto"/>
      </w:pPr>
      <w:r>
        <w:separator/>
      </w:r>
    </w:p>
  </w:endnote>
  <w:endnote w:type="continuationSeparator" w:id="0">
    <w:p w:rsidR="00D63B5E" w:rsidRDefault="00D63B5E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E" w:rsidRDefault="00D03D87">
    <w:pPr>
      <w:pStyle w:val="ac"/>
      <w:jc w:val="center"/>
    </w:pPr>
    <w:r>
      <w:fldChar w:fldCharType="begin"/>
    </w:r>
    <w:r w:rsidR="00BA0B4E">
      <w:instrText xml:space="preserve"> PAGE   \* MERGEFORMAT </w:instrText>
    </w:r>
    <w:r>
      <w:fldChar w:fldCharType="separate"/>
    </w:r>
    <w:r w:rsidR="007E4353">
      <w:rPr>
        <w:noProof/>
      </w:rPr>
      <w:t>16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B5E" w:rsidRDefault="00D63B5E" w:rsidP="00805E54">
      <w:pPr>
        <w:spacing w:after="0" w:line="240" w:lineRule="auto"/>
      </w:pPr>
      <w:r>
        <w:separator/>
      </w:r>
    </w:p>
  </w:footnote>
  <w:footnote w:type="continuationSeparator" w:id="0">
    <w:p w:rsidR="00D63B5E" w:rsidRDefault="00D63B5E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35119"/>
    <w:rsid w:val="00045450"/>
    <w:rsid w:val="00046BAF"/>
    <w:rsid w:val="00085513"/>
    <w:rsid w:val="00094635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0749A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341D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1F95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B73C2"/>
    <w:rsid w:val="007C2A25"/>
    <w:rsid w:val="007C41A7"/>
    <w:rsid w:val="007D479C"/>
    <w:rsid w:val="007D51F6"/>
    <w:rsid w:val="007D5590"/>
    <w:rsid w:val="007D7117"/>
    <w:rsid w:val="007E0FEC"/>
    <w:rsid w:val="007E140A"/>
    <w:rsid w:val="007E16C7"/>
    <w:rsid w:val="007E4353"/>
    <w:rsid w:val="007F33DC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E5F30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05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24F"/>
    <w:rsid w:val="00C51907"/>
    <w:rsid w:val="00C53AB8"/>
    <w:rsid w:val="00C61244"/>
    <w:rsid w:val="00C621D1"/>
    <w:rsid w:val="00C71127"/>
    <w:rsid w:val="00C80AA6"/>
    <w:rsid w:val="00C87AF2"/>
    <w:rsid w:val="00C92380"/>
    <w:rsid w:val="00C967FA"/>
    <w:rsid w:val="00CA5082"/>
    <w:rsid w:val="00CA7B4F"/>
    <w:rsid w:val="00CC2226"/>
    <w:rsid w:val="00CD00C2"/>
    <w:rsid w:val="00CD12E6"/>
    <w:rsid w:val="00CD3A18"/>
    <w:rsid w:val="00CE1D8A"/>
    <w:rsid w:val="00CF2032"/>
    <w:rsid w:val="00CF2F68"/>
    <w:rsid w:val="00D03596"/>
    <w:rsid w:val="00D03D87"/>
    <w:rsid w:val="00D10E14"/>
    <w:rsid w:val="00D16667"/>
    <w:rsid w:val="00D17110"/>
    <w:rsid w:val="00D20A7D"/>
    <w:rsid w:val="00D304CC"/>
    <w:rsid w:val="00D34D4B"/>
    <w:rsid w:val="00D51E34"/>
    <w:rsid w:val="00D56A8E"/>
    <w:rsid w:val="00D63B5E"/>
    <w:rsid w:val="00D7644D"/>
    <w:rsid w:val="00D815C7"/>
    <w:rsid w:val="00DA6101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2772"/>
    <w:rsid w:val="00E25249"/>
    <w:rsid w:val="00E40A64"/>
    <w:rsid w:val="00E51D74"/>
    <w:rsid w:val="00E64960"/>
    <w:rsid w:val="00E6722F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C75B-9CA4-4C4C-9160-98DC9FB5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16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34642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18</cp:revision>
  <dcterms:created xsi:type="dcterms:W3CDTF">2019-07-11T08:06:00Z</dcterms:created>
  <dcterms:modified xsi:type="dcterms:W3CDTF">2020-07-02T08:57:00Z</dcterms:modified>
</cp:coreProperties>
</file>